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7EF0A"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UICTFontTextStyleEmphasizedBody" w:eastAsia="Times New Roman" w:hAnsi="UICTFontTextStyleEmphasizedBody" w:cs="Segoe UI"/>
          <w:b/>
          <w:bCs/>
          <w:color w:val="242424"/>
          <w:kern w:val="0"/>
          <w:sz w:val="23"/>
          <w:szCs w:val="23"/>
          <w:bdr w:val="none" w:sz="0" w:space="0" w:color="auto" w:frame="1"/>
          <w:lang w:eastAsia="en-GB"/>
          <w14:ligatures w14:val="none"/>
        </w:rPr>
        <w:t>One council for Norfolk is best for residents and services</w:t>
      </w:r>
    </w:p>
    <w:p w14:paraId="456A3191"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15FC66D6"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A new report from Norfolk County Council shows that replacing the county’s eight existing councils with a single unitary authority could save £36.2 million annually, enough to repay the £33.7 million setup cost within just one year.</w:t>
      </w:r>
    </w:p>
    <w:p w14:paraId="0F01ED72"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The draft options appraisal, developed in response to Government plans to streamline local government in England, highlights the financial and service benefits of a single council model. It finds that:</w:t>
      </w:r>
    </w:p>
    <w:p w14:paraId="57FEEFC0"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 </w:t>
      </w:r>
      <w:r w:rsidRPr="006907FC">
        <w:rPr>
          <w:rFonts w:ascii="UICTFontTextStyleEmphasizedBody" w:eastAsia="Times New Roman" w:hAnsi="UICTFontTextStyleEmphasizedBody" w:cs="Segoe UI"/>
          <w:b/>
          <w:bCs/>
          <w:color w:val="242424"/>
          <w:kern w:val="0"/>
          <w:sz w:val="23"/>
          <w:szCs w:val="23"/>
          <w:bdr w:val="none" w:sz="0" w:space="0" w:color="auto" w:frame="1"/>
          <w:lang w:eastAsia="en-GB"/>
          <w14:ligatures w14:val="none"/>
        </w:rPr>
        <w:t>A single council would deliver the highest savings</w:t>
      </w:r>
      <w:r w:rsidRPr="006907FC">
        <w:rPr>
          <w:rFonts w:ascii="Segoe UI" w:eastAsia="Times New Roman" w:hAnsi="Segoe UI" w:cs="Segoe UI"/>
          <w:color w:val="242424"/>
          <w:kern w:val="0"/>
          <w:sz w:val="23"/>
          <w:szCs w:val="23"/>
          <w:bdr w:val="none" w:sz="0" w:space="0" w:color="auto" w:frame="1"/>
          <w:lang w:eastAsia="en-GB"/>
          <w14:ligatures w14:val="none"/>
        </w:rPr>
        <w:t>—£36.2 million per year—by reducing duplication, cutting senior roles, and achieving economies of scale.</w:t>
      </w:r>
    </w:p>
    <w:p w14:paraId="6A408193"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 </w:t>
      </w:r>
      <w:r w:rsidRPr="006907FC">
        <w:rPr>
          <w:rFonts w:ascii="UICTFontTextStyleEmphasizedBody" w:eastAsia="Times New Roman" w:hAnsi="UICTFontTextStyleEmphasizedBody" w:cs="Segoe UI"/>
          <w:b/>
          <w:bCs/>
          <w:color w:val="242424"/>
          <w:kern w:val="0"/>
          <w:sz w:val="23"/>
          <w:szCs w:val="23"/>
          <w:bdr w:val="none" w:sz="0" w:space="0" w:color="auto" w:frame="1"/>
          <w:lang w:eastAsia="en-GB"/>
          <w14:ligatures w14:val="none"/>
        </w:rPr>
        <w:t>Two or three councils would cost more</w:t>
      </w:r>
      <w:r w:rsidRPr="006907FC">
        <w:rPr>
          <w:rFonts w:ascii="Segoe UI" w:eastAsia="Times New Roman" w:hAnsi="Segoe UI" w:cs="Segoe UI"/>
          <w:color w:val="242424"/>
          <w:kern w:val="0"/>
          <w:sz w:val="23"/>
          <w:szCs w:val="23"/>
          <w:bdr w:val="none" w:sz="0" w:space="0" w:color="auto" w:frame="1"/>
          <w:lang w:eastAsia="en-GB"/>
          <w14:ligatures w14:val="none"/>
        </w:rPr>
        <w:t> to set up (£43.2 million and £50.2 million respectively) and would either take years to break even or never recover the investment.</w:t>
      </w:r>
    </w:p>
    <w:p w14:paraId="47B7C2A9"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 </w:t>
      </w:r>
      <w:r w:rsidRPr="006907FC">
        <w:rPr>
          <w:rFonts w:ascii="UICTFontTextStyleEmphasizedBody" w:eastAsia="Times New Roman" w:hAnsi="UICTFontTextStyleEmphasizedBody" w:cs="Segoe UI"/>
          <w:b/>
          <w:bCs/>
          <w:color w:val="242424"/>
          <w:kern w:val="0"/>
          <w:sz w:val="23"/>
          <w:szCs w:val="23"/>
          <w:bdr w:val="none" w:sz="0" w:space="0" w:color="auto" w:frame="1"/>
          <w:lang w:eastAsia="en-GB"/>
          <w14:ligatures w14:val="none"/>
        </w:rPr>
        <w:t>Ongoing costs of splitting services</w:t>
      </w:r>
      <w:r w:rsidRPr="006907FC">
        <w:rPr>
          <w:rFonts w:ascii="Segoe UI" w:eastAsia="Times New Roman" w:hAnsi="Segoe UI" w:cs="Segoe UI"/>
          <w:color w:val="242424"/>
          <w:kern w:val="0"/>
          <w:sz w:val="23"/>
          <w:szCs w:val="23"/>
          <w:bdr w:val="none" w:sz="0" w:space="0" w:color="auto" w:frame="1"/>
          <w:lang w:eastAsia="en-GB"/>
          <w14:ligatures w14:val="none"/>
        </w:rPr>
        <w:t> like adult social care and highways could reach up to £33.6 million per year under a three-council model.</w:t>
      </w:r>
    </w:p>
    <w:p w14:paraId="6FB3BA90"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 By 2040, two or three councils would cost between £10 million and £31 million more per year than a single council.</w:t>
      </w:r>
    </w:p>
    <w:p w14:paraId="5D09191A"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 </w:t>
      </w:r>
      <w:r w:rsidRPr="006907FC">
        <w:rPr>
          <w:rFonts w:ascii="UICTFontTextStyleEmphasizedBody" w:eastAsia="Times New Roman" w:hAnsi="UICTFontTextStyleEmphasizedBody" w:cs="Segoe UI"/>
          <w:b/>
          <w:bCs/>
          <w:color w:val="242424"/>
          <w:kern w:val="0"/>
          <w:sz w:val="23"/>
          <w:szCs w:val="23"/>
          <w:bdr w:val="none" w:sz="0" w:space="0" w:color="auto" w:frame="1"/>
          <w:lang w:eastAsia="en-GB"/>
          <w14:ligatures w14:val="none"/>
        </w:rPr>
        <w:t>The west of Norfolk could face a funding shortfall</w:t>
      </w:r>
      <w:r w:rsidRPr="006907FC">
        <w:rPr>
          <w:rFonts w:ascii="Segoe UI" w:eastAsia="Times New Roman" w:hAnsi="Segoe UI" w:cs="Segoe UI"/>
          <w:color w:val="242424"/>
          <w:kern w:val="0"/>
          <w:sz w:val="23"/>
          <w:szCs w:val="23"/>
          <w:bdr w:val="none" w:sz="0" w:space="0" w:color="auto" w:frame="1"/>
          <w:lang w:eastAsia="en-GB"/>
          <w14:ligatures w14:val="none"/>
        </w:rPr>
        <w:t> of up to £21.1 million annually under multi-council options, raising serious concerns about financial sustainability.</w:t>
      </w:r>
    </w:p>
    <w:p w14:paraId="4114DEC6"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The report also warns that dividing services between councils could lead to duplication, inefficiencies, and risks to vulnerable residents who rely on county-wide support.</w:t>
      </w:r>
    </w:p>
    <w:p w14:paraId="58B33416"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Norfolk County Council is proposing a single unitary council as its preferred option and will be submitting its findings to Government as part of the national reform process.</w:t>
      </w:r>
    </w:p>
    <w:p w14:paraId="6DE207E1"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It’s worth noting that any changes will not impact on the vital role our Town and Parish councils play supporting our communities.</w:t>
      </w:r>
    </w:p>
    <w:p w14:paraId="1355456B"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 </w:t>
      </w:r>
    </w:p>
    <w:p w14:paraId="4954C4F4"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UICTFontTextStyleEmphasizedBody" w:eastAsia="Times New Roman" w:hAnsi="UICTFontTextStyleEmphasizedBody" w:cs="Segoe UI"/>
          <w:b/>
          <w:bCs/>
          <w:color w:val="242424"/>
          <w:kern w:val="0"/>
          <w:sz w:val="23"/>
          <w:szCs w:val="23"/>
          <w:bdr w:val="none" w:sz="0" w:space="0" w:color="auto" w:frame="1"/>
          <w:lang w:eastAsia="en-GB"/>
          <w14:ligatures w14:val="none"/>
        </w:rPr>
        <w:t>Norfolk County Council Approves £500k Community Fund to Boost Local Projects</w:t>
      </w:r>
    </w:p>
    <w:p w14:paraId="5414AF7D"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Norfolk County Council has approved the launch of a new £500k Norfolk Community Fund for 2025/26, aimed at supporting grassroots projects that strengthen communities and improve local wellbeing.</w:t>
      </w:r>
    </w:p>
    <w:p w14:paraId="389D2900"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The fund will empower local voluntary, community, and social enterprise (VCSE) groups to apply for grants between £200 and £2,500 to deliver small-scale initiatives that bring people together, promote inclusion, and enhance quality of life. Each of the county’s 84 councillors will be allocated £5,000 to distribute within their divisions, ensuring funding reaches every corner of Norfolk </w:t>
      </w:r>
    </w:p>
    <w:p w14:paraId="003AAFA2"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 </w:t>
      </w:r>
    </w:p>
    <w:p w14:paraId="66708A07"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The fund responds to growing pressures on the VCSE sector, highlighted in the recent State of the Sector Survey, and builds on the success of previous schemes like the Norfolk Parish Partnership. It will also encourage match funding through crowdfunding, potentially doubling the impact to £1 million </w:t>
      </w:r>
    </w:p>
    <w:p w14:paraId="066C26E2"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The 2025–26 programme will prioritise projects that support ageing well, youth engagement, community cohesion, and cultural connection.</w:t>
      </w:r>
    </w:p>
    <w:p w14:paraId="7E1C6305"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For more information on how to apply, visit </w:t>
      </w:r>
      <w:hyperlink r:id="rId4" w:tooltip="https://www.norfolk.gov.uk/" w:history="1">
        <w:r w:rsidRPr="006907FC">
          <w:rPr>
            <w:rFonts w:ascii="Segoe UI" w:eastAsia="Times New Roman" w:hAnsi="Segoe UI" w:cs="Segoe UI"/>
            <w:color w:val="0000FF"/>
            <w:kern w:val="0"/>
            <w:sz w:val="23"/>
            <w:szCs w:val="23"/>
            <w:u w:val="single"/>
            <w:bdr w:val="none" w:sz="0" w:space="0" w:color="auto" w:frame="1"/>
            <w:lang w:eastAsia="en-GB"/>
            <w14:ligatures w14:val="none"/>
          </w:rPr>
          <w:t>www.norfolk.gov.uk</w:t>
        </w:r>
      </w:hyperlink>
      <w:r w:rsidRPr="006907FC">
        <w:rPr>
          <w:rFonts w:ascii="Segoe UI" w:eastAsia="Times New Roman" w:hAnsi="Segoe UI" w:cs="Segoe UI"/>
          <w:color w:val="242424"/>
          <w:kern w:val="0"/>
          <w:sz w:val="23"/>
          <w:szCs w:val="23"/>
          <w:bdr w:val="none" w:sz="0" w:space="0" w:color="auto" w:frame="1"/>
          <w:lang w:eastAsia="en-GB"/>
          <w14:ligatures w14:val="none"/>
        </w:rPr>
        <w:t>.</w:t>
      </w:r>
    </w:p>
    <w:p w14:paraId="220FBC7E"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 </w:t>
      </w:r>
    </w:p>
    <w:p w14:paraId="50BEE30C"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UICTFontTextStyleEmphasizedBody" w:eastAsia="Times New Roman" w:hAnsi="UICTFontTextStyleEmphasizedBody" w:cs="Segoe UI"/>
          <w:b/>
          <w:bCs/>
          <w:color w:val="242424"/>
          <w:kern w:val="0"/>
          <w:sz w:val="23"/>
          <w:szCs w:val="23"/>
          <w:bdr w:val="none" w:sz="0" w:space="0" w:color="auto" w:frame="1"/>
          <w:lang w:eastAsia="en-GB"/>
          <w14:ligatures w14:val="none"/>
        </w:rPr>
        <w:t>Norfolk County Council issues over £685,000 in fines for non-compliant road works</w:t>
      </w:r>
    </w:p>
    <w:p w14:paraId="461922D1"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lastRenderedPageBreak/>
        <w:t xml:space="preserve">In 2024/25, Norfolk County Council issued over 44,000 street and roadwork permits, with 75% linked to utility companies and developers. Although the Council coordinates </w:t>
      </w:r>
      <w:proofErr w:type="gramStart"/>
      <w:r w:rsidRPr="006907FC">
        <w:rPr>
          <w:rFonts w:ascii="Segoe UI" w:eastAsia="Times New Roman" w:hAnsi="Segoe UI" w:cs="Segoe UI"/>
          <w:color w:val="242424"/>
          <w:kern w:val="0"/>
          <w:sz w:val="23"/>
          <w:szCs w:val="23"/>
          <w:bdr w:val="none" w:sz="0" w:space="0" w:color="auto" w:frame="1"/>
          <w:lang w:eastAsia="en-GB"/>
          <w14:ligatures w14:val="none"/>
        </w:rPr>
        <w:t>works</w:t>
      </w:r>
      <w:proofErr w:type="gramEnd"/>
      <w:r w:rsidRPr="006907FC">
        <w:rPr>
          <w:rFonts w:ascii="Segoe UI" w:eastAsia="Times New Roman" w:hAnsi="Segoe UI" w:cs="Segoe UI"/>
          <w:color w:val="242424"/>
          <w:kern w:val="0"/>
          <w:sz w:val="23"/>
          <w:szCs w:val="23"/>
          <w:bdr w:val="none" w:sz="0" w:space="0" w:color="auto" w:frame="1"/>
          <w:lang w:eastAsia="en-GB"/>
          <w14:ligatures w14:val="none"/>
        </w:rPr>
        <w:t>, 79 utility firms have legal rights to dig up roads, limiting local control.</w:t>
      </w:r>
    </w:p>
    <w:p w14:paraId="4D599580"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Around 7,000 permits were for emergency works, often the most disruptive, and 5,400 applications were rejected. The Council issued 2,809 Fixed Penalty Notices for permit breaches, raising nearly £340,000. A further £345,000 came from 306 overrunning works, causing 1,317 days of disruption.</w:t>
      </w:r>
    </w:p>
    <w:p w14:paraId="00C926B9"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Two utility companies were successfully prosecuted, resulting in nearly £100,000 in court fines and full costs awarded</w:t>
      </w:r>
    </w:p>
    <w:p w14:paraId="3FDF24CE"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 </w:t>
      </w:r>
    </w:p>
    <w:p w14:paraId="6E93C302"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35AD16AB"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 </w:t>
      </w:r>
    </w:p>
    <w:p w14:paraId="4C4B6A2C"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UICTFontTextStyleEmphasizedBody" w:eastAsia="Times New Roman" w:hAnsi="UICTFontTextStyleEmphasizedBody" w:cs="Segoe UI"/>
          <w:b/>
          <w:bCs/>
          <w:color w:val="242424"/>
          <w:kern w:val="0"/>
          <w:sz w:val="23"/>
          <w:szCs w:val="23"/>
          <w:bdr w:val="none" w:sz="0" w:space="0" w:color="auto" w:frame="1"/>
          <w:lang w:eastAsia="en-GB"/>
          <w14:ligatures w14:val="none"/>
        </w:rPr>
        <w:t>Single-Use Vapes to Be Banned in Norfolk from 1st June</w:t>
      </w:r>
    </w:p>
    <w:p w14:paraId="043501D7"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From Sunday 1st June, it was illegal to sell or supply single-use vapes in Norfolk, as new national regulations came into force.</w:t>
      </w:r>
    </w:p>
    <w:p w14:paraId="00943F25"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The ban, part of the Environmental Protection (Single-use Vapes) Regulations 2024, aims to reduce fire risks from lithium-ion batteries and tackle environmental damage caused by disposable plastics and nicotine waste.</w:t>
      </w:r>
    </w:p>
    <w:p w14:paraId="52471E18"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Businesses must ensure all vapes sold are refillable, rechargeable, and replaceable, and must offer a take-back service for safe disposal. Enforcement action for non-compliance may include fines, product seizures, or prosecution.</w:t>
      </w:r>
    </w:p>
    <w:p w14:paraId="0D5A6CA5"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Norfolk’s 19 recycling centres offer dedicated bins for vape and battery disposal from households.</w:t>
      </w:r>
    </w:p>
    <w:p w14:paraId="6106A06D"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For business guidance and resources, visit the government’s single-use vapes ban page or contact Norfolk Trading Standards at 0344 800 8020.</w:t>
      </w:r>
    </w:p>
    <w:p w14:paraId="56454F10"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UICTFontTextStyleEmphasizedBody" w:eastAsia="Times New Roman" w:hAnsi="UICTFontTextStyleEmphasizedBody" w:cs="Segoe UI"/>
          <w:b/>
          <w:bCs/>
          <w:color w:val="242424"/>
          <w:kern w:val="0"/>
          <w:sz w:val="23"/>
          <w:szCs w:val="23"/>
          <w:bdr w:val="none" w:sz="0" w:space="0" w:color="auto" w:frame="1"/>
          <w:lang w:eastAsia="en-GB"/>
          <w14:ligatures w14:val="none"/>
        </w:rPr>
        <w:t> </w:t>
      </w:r>
    </w:p>
    <w:p w14:paraId="3BF6EE02" w14:textId="77777777" w:rsidR="006907FC" w:rsidRPr="006907FC" w:rsidRDefault="006907FC" w:rsidP="006907FC">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6907FC">
        <w:rPr>
          <w:rFonts w:ascii="Segoe UI" w:eastAsia="Times New Roman" w:hAnsi="Segoe UI" w:cs="Segoe UI"/>
          <w:color w:val="242424"/>
          <w:kern w:val="0"/>
          <w:sz w:val="23"/>
          <w:szCs w:val="23"/>
          <w:bdr w:val="none" w:sz="0" w:space="0" w:color="auto" w:frame="1"/>
          <w:lang w:eastAsia="en-GB"/>
          <w14:ligatures w14:val="none"/>
        </w:rPr>
        <w:t> </w:t>
      </w:r>
    </w:p>
    <w:p w14:paraId="0B158A5D" w14:textId="77777777" w:rsidR="006907FC" w:rsidRPr="006907FC" w:rsidRDefault="006907FC" w:rsidP="006907FC">
      <w:pPr>
        <w:shd w:val="clear" w:color="auto" w:fill="FFFFFF"/>
        <w:spacing w:after="100" w:line="240" w:lineRule="auto"/>
        <w:textAlignment w:val="baseline"/>
        <w:rPr>
          <w:rFonts w:ascii="Segoe UI" w:eastAsia="Times New Roman" w:hAnsi="Segoe UI" w:cs="Segoe UI"/>
          <w:color w:val="242424"/>
          <w:kern w:val="0"/>
          <w:sz w:val="23"/>
          <w:szCs w:val="23"/>
          <w:lang w:eastAsia="en-GB"/>
          <w14:ligatures w14:val="none"/>
        </w:rPr>
      </w:pPr>
    </w:p>
    <w:p w14:paraId="46CD1DA8" w14:textId="77777777" w:rsidR="009D76CC" w:rsidRDefault="009D76CC"/>
    <w:sectPr w:rsidR="009D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ICTFontTextStyleEmphasizedBody">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7DA"/>
    <w:rsid w:val="00614A85"/>
    <w:rsid w:val="006907FC"/>
    <w:rsid w:val="009A2EAD"/>
    <w:rsid w:val="009D76CC"/>
    <w:rsid w:val="00F747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FEF68"/>
  <w15:chartTrackingRefBased/>
  <w15:docId w15:val="{758AB6EB-BF6A-4A7A-9E36-95C052AB2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47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747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747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747D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47D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47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47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47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47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7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747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747D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747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47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47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47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47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47DA"/>
    <w:rPr>
      <w:rFonts w:eastAsiaTheme="majorEastAsia" w:cstheme="majorBidi"/>
      <w:color w:val="272727" w:themeColor="text1" w:themeTint="D8"/>
    </w:rPr>
  </w:style>
  <w:style w:type="paragraph" w:styleId="Title">
    <w:name w:val="Title"/>
    <w:basedOn w:val="Normal"/>
    <w:next w:val="Normal"/>
    <w:link w:val="TitleChar"/>
    <w:uiPriority w:val="10"/>
    <w:qFormat/>
    <w:rsid w:val="00F747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47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47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47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47DA"/>
    <w:pPr>
      <w:spacing w:before="160"/>
      <w:jc w:val="center"/>
    </w:pPr>
    <w:rPr>
      <w:i/>
      <w:iCs/>
      <w:color w:val="404040" w:themeColor="text1" w:themeTint="BF"/>
    </w:rPr>
  </w:style>
  <w:style w:type="character" w:customStyle="1" w:styleId="QuoteChar">
    <w:name w:val="Quote Char"/>
    <w:basedOn w:val="DefaultParagraphFont"/>
    <w:link w:val="Quote"/>
    <w:uiPriority w:val="29"/>
    <w:rsid w:val="00F747DA"/>
    <w:rPr>
      <w:i/>
      <w:iCs/>
      <w:color w:val="404040" w:themeColor="text1" w:themeTint="BF"/>
    </w:rPr>
  </w:style>
  <w:style w:type="paragraph" w:styleId="ListParagraph">
    <w:name w:val="List Paragraph"/>
    <w:basedOn w:val="Normal"/>
    <w:uiPriority w:val="34"/>
    <w:qFormat/>
    <w:rsid w:val="00F747DA"/>
    <w:pPr>
      <w:ind w:left="720"/>
      <w:contextualSpacing/>
    </w:pPr>
  </w:style>
  <w:style w:type="character" w:styleId="IntenseEmphasis">
    <w:name w:val="Intense Emphasis"/>
    <w:basedOn w:val="DefaultParagraphFont"/>
    <w:uiPriority w:val="21"/>
    <w:qFormat/>
    <w:rsid w:val="00F747DA"/>
    <w:rPr>
      <w:i/>
      <w:iCs/>
      <w:color w:val="2F5496" w:themeColor="accent1" w:themeShade="BF"/>
    </w:rPr>
  </w:style>
  <w:style w:type="paragraph" w:styleId="IntenseQuote">
    <w:name w:val="Intense Quote"/>
    <w:basedOn w:val="Normal"/>
    <w:next w:val="Normal"/>
    <w:link w:val="IntenseQuoteChar"/>
    <w:uiPriority w:val="30"/>
    <w:qFormat/>
    <w:rsid w:val="00F747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47DA"/>
    <w:rPr>
      <w:i/>
      <w:iCs/>
      <w:color w:val="2F5496" w:themeColor="accent1" w:themeShade="BF"/>
    </w:rPr>
  </w:style>
  <w:style w:type="character" w:styleId="IntenseReference">
    <w:name w:val="Intense Reference"/>
    <w:basedOn w:val="DefaultParagraphFont"/>
    <w:uiPriority w:val="32"/>
    <w:qFormat/>
    <w:rsid w:val="00F747D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926649">
      <w:bodyDiv w:val="1"/>
      <w:marLeft w:val="0"/>
      <w:marRight w:val="0"/>
      <w:marTop w:val="0"/>
      <w:marBottom w:val="0"/>
      <w:divBdr>
        <w:top w:val="none" w:sz="0" w:space="0" w:color="auto"/>
        <w:left w:val="none" w:sz="0" w:space="0" w:color="auto"/>
        <w:bottom w:val="none" w:sz="0" w:space="0" w:color="auto"/>
        <w:right w:val="none" w:sz="0" w:space="0" w:color="auto"/>
      </w:divBdr>
      <w:divsChild>
        <w:div w:id="19795265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9841014">
              <w:marLeft w:val="0"/>
              <w:marRight w:val="0"/>
              <w:marTop w:val="0"/>
              <w:marBottom w:val="0"/>
              <w:divBdr>
                <w:top w:val="none" w:sz="0" w:space="0" w:color="auto"/>
                <w:left w:val="none" w:sz="0" w:space="0" w:color="auto"/>
                <w:bottom w:val="none" w:sz="0" w:space="0" w:color="auto"/>
                <w:right w:val="none" w:sz="0" w:space="0" w:color="auto"/>
              </w:divBdr>
              <w:divsChild>
                <w:div w:id="200679242">
                  <w:marLeft w:val="0"/>
                  <w:marRight w:val="0"/>
                  <w:marTop w:val="0"/>
                  <w:marBottom w:val="0"/>
                  <w:divBdr>
                    <w:top w:val="none" w:sz="0" w:space="0" w:color="auto"/>
                    <w:left w:val="none" w:sz="0" w:space="0" w:color="auto"/>
                    <w:bottom w:val="none" w:sz="0" w:space="0" w:color="auto"/>
                    <w:right w:val="none" w:sz="0" w:space="0" w:color="auto"/>
                  </w:divBdr>
                  <w:divsChild>
                    <w:div w:id="1812405700">
                      <w:marLeft w:val="0"/>
                      <w:marRight w:val="0"/>
                      <w:marTop w:val="0"/>
                      <w:marBottom w:val="0"/>
                      <w:divBdr>
                        <w:top w:val="none" w:sz="0" w:space="0" w:color="auto"/>
                        <w:left w:val="none" w:sz="0" w:space="0" w:color="auto"/>
                        <w:bottom w:val="none" w:sz="0" w:space="0" w:color="auto"/>
                        <w:right w:val="none" w:sz="0" w:space="0" w:color="auto"/>
                      </w:divBdr>
                    </w:div>
                    <w:div w:id="18101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687</Words>
  <Characters>3920</Characters>
  <Application>Microsoft Office Word</Application>
  <DocSecurity>0</DocSecurity>
  <Lines>32</Lines>
  <Paragraphs>9</Paragraphs>
  <ScaleCrop>false</ScaleCrop>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2025-07-23T15:25:00Z</dcterms:created>
  <dcterms:modified xsi:type="dcterms:W3CDTF">2025-07-23T15:25:00Z</dcterms:modified>
</cp:coreProperties>
</file>